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Ex2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2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CDDCD" w14:textId="1CBBE5B4" w:rsidR="001A2420" w:rsidRPr="0019278C" w:rsidRDefault="00946138" w:rsidP="00592B1C">
      <w:pPr>
        <w:pStyle w:val="Heading1"/>
        <w:rPr>
          <w:rFonts w:ascii="Arial" w:hAnsi="Arial" w:cs="Arial"/>
          <w:b/>
          <w:color w:val="1E4586"/>
          <w:sz w:val="48"/>
          <w:szCs w:val="48"/>
        </w:rPr>
      </w:pPr>
      <w:bookmarkStart w:id="0" w:name="_GoBack"/>
      <w:bookmarkEnd w:id="0"/>
      <w:r w:rsidRPr="0019278C">
        <w:rPr>
          <w:rFonts w:ascii="Arial" w:eastAsia="Times New Roman" w:hAnsi="Arial" w:cs="Arial"/>
          <w:b/>
          <w:noProof/>
          <w:color w:val="1E4586"/>
          <w:sz w:val="48"/>
          <w:szCs w:val="48"/>
          <w:lang w:eastAsia="en-NZ"/>
        </w:rPr>
        <w:drawing>
          <wp:anchor distT="0" distB="0" distL="114300" distR="114300" simplePos="0" relativeHeight="251664384" behindDoc="1" locked="0" layoutInCell="1" allowOverlap="1" wp14:anchorId="2A11E55D" wp14:editId="225FB157">
            <wp:simplePos x="0" y="0"/>
            <wp:positionH relativeFrom="margin">
              <wp:align>left</wp:align>
            </wp:positionH>
            <wp:positionV relativeFrom="margin">
              <wp:posOffset>-662940</wp:posOffset>
            </wp:positionV>
            <wp:extent cx="5730240" cy="1323340"/>
            <wp:effectExtent l="0" t="0" r="3810" b="0"/>
            <wp:wrapSquare wrapText="bothSides"/>
            <wp:docPr id="2" name="Picture 2" descr="cid:915AD67F-DF8A-44BB-A7EF-C3C306AD541D@tele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8FF58-A78E-48E4-9B7C-4462CEB21CD0" descr="cid:915AD67F-DF8A-44BB-A7EF-C3C306AD541D@tele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78C" w:rsidRPr="0019278C">
        <w:rPr>
          <w:rFonts w:ascii="Arial" w:hAnsi="Arial" w:cs="Arial"/>
          <w:b/>
          <w:color w:val="1E4586"/>
          <w:sz w:val="24"/>
          <w:szCs w:val="24"/>
        </w:rPr>
        <w:br/>
      </w:r>
      <w:r w:rsidR="00775849" w:rsidRPr="0019278C">
        <w:rPr>
          <w:rFonts w:ascii="Arial" w:hAnsi="Arial" w:cs="Arial"/>
          <w:b/>
          <w:color w:val="1E4586"/>
          <w:sz w:val="48"/>
          <w:szCs w:val="48"/>
        </w:rPr>
        <w:t>Sport New Zealand Group</w:t>
      </w:r>
    </w:p>
    <w:p w14:paraId="58ADDB35" w14:textId="77777777" w:rsidR="00BE1349" w:rsidRPr="00592B1C" w:rsidRDefault="00BE1349" w:rsidP="00775849">
      <w:pPr>
        <w:pStyle w:val="Heading2"/>
        <w:rPr>
          <w:rFonts w:ascii="Arial" w:hAnsi="Arial" w:cs="Arial"/>
          <w:b/>
        </w:rPr>
      </w:pPr>
    </w:p>
    <w:p w14:paraId="3BF5CF70" w14:textId="369DA41E" w:rsidR="00775849" w:rsidRPr="00FE36E0" w:rsidRDefault="00775849" w:rsidP="00775849">
      <w:pPr>
        <w:pStyle w:val="Heading2"/>
        <w:rPr>
          <w:rFonts w:ascii="Arial" w:hAnsi="Arial" w:cs="Arial"/>
          <w:b/>
          <w:color w:val="0088C2"/>
          <w:sz w:val="28"/>
          <w:szCs w:val="28"/>
        </w:rPr>
      </w:pPr>
      <w:r w:rsidRPr="00FE36E0">
        <w:rPr>
          <w:rFonts w:ascii="Arial" w:hAnsi="Arial" w:cs="Arial"/>
          <w:b/>
          <w:color w:val="0088C2"/>
          <w:sz w:val="28"/>
          <w:szCs w:val="28"/>
        </w:rPr>
        <w:t>Organisational Health and Capability</w:t>
      </w:r>
    </w:p>
    <w:p w14:paraId="6023C23B" w14:textId="7E2E47C2" w:rsidR="00775849" w:rsidRPr="0019278C" w:rsidRDefault="00775849" w:rsidP="00775849">
      <w:pPr>
        <w:pStyle w:val="Heading3"/>
        <w:rPr>
          <w:rFonts w:ascii="Arial" w:hAnsi="Arial" w:cs="Arial"/>
          <w:color w:val="0088C2"/>
        </w:rPr>
      </w:pPr>
      <w:r w:rsidRPr="0019278C">
        <w:rPr>
          <w:rFonts w:ascii="Arial" w:hAnsi="Arial" w:cs="Arial"/>
          <w:color w:val="0088C2"/>
        </w:rPr>
        <w:t>For the three months ended 3</w:t>
      </w:r>
      <w:r w:rsidR="006F0AE9">
        <w:rPr>
          <w:rFonts w:ascii="Arial" w:hAnsi="Arial" w:cs="Arial"/>
          <w:color w:val="0088C2"/>
        </w:rPr>
        <w:t>1 Dec</w:t>
      </w:r>
      <w:r w:rsidRPr="0019278C">
        <w:rPr>
          <w:rFonts w:ascii="Arial" w:hAnsi="Arial" w:cs="Arial"/>
          <w:color w:val="0088C2"/>
        </w:rPr>
        <w:t>ember 2016</w:t>
      </w:r>
    </w:p>
    <w:p w14:paraId="7F98E815" w14:textId="77777777" w:rsidR="00BE1349" w:rsidRPr="00592B1C" w:rsidRDefault="00BE1349" w:rsidP="00775849">
      <w:pPr>
        <w:rPr>
          <w:rFonts w:ascii="Arial" w:hAnsi="Arial" w:cs="Arial"/>
          <w:b/>
        </w:rPr>
      </w:pPr>
    </w:p>
    <w:p w14:paraId="4D7FEC17" w14:textId="0654D5C0" w:rsidR="00775849" w:rsidRPr="00FE36E0" w:rsidRDefault="00775849" w:rsidP="00775849">
      <w:pPr>
        <w:rPr>
          <w:rFonts w:ascii="Arial" w:hAnsi="Arial" w:cs="Arial"/>
          <w:b/>
          <w:sz w:val="24"/>
          <w:szCs w:val="24"/>
        </w:rPr>
      </w:pPr>
      <w:r w:rsidRPr="00FE36E0">
        <w:rPr>
          <w:rFonts w:ascii="Arial" w:hAnsi="Arial" w:cs="Arial"/>
          <w:b/>
          <w:sz w:val="24"/>
          <w:szCs w:val="24"/>
        </w:rPr>
        <w:t>Good Employer Indicators</w:t>
      </w:r>
    </w:p>
    <w:p w14:paraId="3F90FE14" w14:textId="2C20FBCC" w:rsidR="00775849" w:rsidRPr="00FE36E0" w:rsidRDefault="00775849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sz w:val="24"/>
          <w:szCs w:val="24"/>
        </w:rPr>
        <w:t>Annual Staff Turnover (Target: 12% or less)</w:t>
      </w:r>
    </w:p>
    <w:p w14:paraId="3870294C" w14:textId="350B7220" w:rsidR="00775849" w:rsidRPr="00FE36E0" w:rsidRDefault="002B5ABA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noProof/>
          <w:sz w:val="24"/>
          <w:szCs w:val="24"/>
          <w:lang w:eastAsia="en-NZ"/>
        </w:rPr>
        <w:t xml:space="preserve"> </w:t>
      </w:r>
      <w:r w:rsidR="006F0AE9">
        <w:rPr>
          <w:noProof/>
          <w:lang w:eastAsia="en-NZ"/>
        </w:rPr>
        <w:drawing>
          <wp:inline distT="0" distB="0" distL="0" distR="0" wp14:anchorId="1325FBB0" wp14:editId="33353C0C">
            <wp:extent cx="4864100" cy="2971800"/>
            <wp:effectExtent l="0" t="0" r="1270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6416E776-0B45-4FB0-8ACB-F5C24BB322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E9E2AB" w14:textId="66881217" w:rsidR="0019278C" w:rsidRPr="00FE36E0" w:rsidRDefault="006F0AE9" w:rsidP="00775849">
      <w:pPr>
        <w:rPr>
          <w:rFonts w:ascii="Arial" w:hAnsi="Arial" w:cs="Arial"/>
          <w:sz w:val="24"/>
          <w:szCs w:val="24"/>
        </w:rPr>
      </w:pPr>
      <w:r>
        <w:t xml:space="preserve">Note: Staff turnover was relatively high due to structural change and an increase </w:t>
      </w:r>
      <w:r w:rsidRPr="005718EF">
        <w:t>expected</w:t>
      </w:r>
      <w:r>
        <w:t xml:space="preserve"> following the Rio </w:t>
      </w:r>
      <w:r w:rsidRPr="005718EF">
        <w:t>Olympics.</w:t>
      </w:r>
      <w:r>
        <w:t xml:space="preserve"> Turnover is expected to trend towards the 12% target over the next 12 months.</w:t>
      </w:r>
    </w:p>
    <w:p w14:paraId="1AB4B914" w14:textId="77777777" w:rsidR="006F0AE9" w:rsidRDefault="006F0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ED0EE4" w14:textId="6D91FB72" w:rsidR="00775849" w:rsidRPr="00FE36E0" w:rsidRDefault="00775849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sz w:val="24"/>
          <w:szCs w:val="24"/>
        </w:rPr>
        <w:lastRenderedPageBreak/>
        <w:t>Average Annual Leave Accrued (Target: 20 days or less)</w:t>
      </w:r>
    </w:p>
    <w:p w14:paraId="3E612934" w14:textId="641F791C" w:rsidR="00775849" w:rsidRPr="00FE36E0" w:rsidRDefault="006F0AE9" w:rsidP="00775849">
      <w:pPr>
        <w:rPr>
          <w:rFonts w:ascii="Arial" w:hAnsi="Arial" w:cs="Arial"/>
          <w:sz w:val="24"/>
          <w:szCs w:val="24"/>
        </w:rPr>
      </w:pPr>
      <w:r w:rsidRPr="00704D42">
        <w:rPr>
          <w:b/>
          <w:noProof/>
          <w:color w:val="FF0000"/>
          <w:lang w:eastAsia="en-N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DD3761" wp14:editId="6A2E9676">
                <wp:simplePos x="0" y="0"/>
                <wp:positionH relativeFrom="column">
                  <wp:posOffset>3741420</wp:posOffset>
                </wp:positionH>
                <wp:positionV relativeFrom="paragraph">
                  <wp:posOffset>1896745</wp:posOffset>
                </wp:positionV>
                <wp:extent cx="787400" cy="25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085C6" w14:textId="77777777" w:rsidR="006F0AE9" w:rsidRPr="00704D42" w:rsidRDefault="006F0AE9" w:rsidP="006F0A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D37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6pt;margin-top:149.35pt;width:62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" stroked="f">
                <v:textbox>
                  <w:txbxContent>
                    <w:p w14:paraId="42E085C6" w14:textId="77777777" w:rsidR="006F0AE9" w:rsidRPr="00704D42" w:rsidRDefault="006F0AE9" w:rsidP="006F0AE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cx1">
            <w:drawing>
              <wp:inline distT="0" distB="0" distL="0" distR="0" wp14:anchorId="6CABE4D7" wp14:editId="5A38BAF4">
                <wp:extent cx="4864100" cy="3009900"/>
                <wp:effectExtent l="0" t="0" r="12700" b="0"/>
                <wp:docPr id="3" name="Char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C9CBEF-044C-404B-AE5F-70B6204B61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6CABE4D7" wp14:editId="5A38BAF4">
                <wp:extent cx="4864100" cy="3009900"/>
                <wp:effectExtent l="0" t="0" r="12700" b="0"/>
                <wp:docPr id="3" name="Char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C9CBEF-044C-404B-AE5F-70B6204B615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hart 3">
                          <a:extLst>
                            <a:ext uri="{FF2B5EF4-FFF2-40B4-BE49-F238E27FC236}">
                              <a16:creationId xmlns:a16="http://schemas.microsoft.com/office/drawing/2014/main" id="{03C9CBEF-044C-404B-AE5F-70B6204B615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4100" cy="300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B1ACFD5" w14:textId="77777777" w:rsidR="0019278C" w:rsidRPr="00FE36E0" w:rsidRDefault="0019278C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sz w:val="24"/>
          <w:szCs w:val="24"/>
        </w:rPr>
        <w:br w:type="page"/>
      </w:r>
    </w:p>
    <w:p w14:paraId="30768AB4" w14:textId="289A1B6C" w:rsidR="00775849" w:rsidRPr="00FE36E0" w:rsidRDefault="00775849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sz w:val="24"/>
          <w:szCs w:val="24"/>
        </w:rPr>
        <w:lastRenderedPageBreak/>
        <w:t>Average Sick Leave Taken (public sector average = 8 days)</w:t>
      </w:r>
    </w:p>
    <w:p w14:paraId="4A3AC18B" w14:textId="76F52435" w:rsidR="008F146E" w:rsidRPr="00FE36E0" w:rsidRDefault="006F0AE9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C3042" wp14:editId="68918A6E">
                <wp:simplePos x="0" y="0"/>
                <wp:positionH relativeFrom="margin">
                  <wp:posOffset>2743200</wp:posOffset>
                </wp:positionH>
                <wp:positionV relativeFrom="paragraph">
                  <wp:posOffset>2787650</wp:posOffset>
                </wp:positionV>
                <wp:extent cx="1706880" cy="24649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4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37BCA" w14:textId="7A52C968" w:rsidR="00345160" w:rsidRPr="00345160" w:rsidRDefault="006F0AE9" w:rsidP="0034516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Average of </w:t>
                            </w:r>
                            <w:r w:rsidR="00345160" w:rsidRPr="00345160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3042" id="Text Box 12" o:spid="_x0000_s1027" type="#_x0000_t202" style="position:absolute;margin-left:3in;margin-top:219.5pt;width:134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" filled="f" stroked="f">
                <v:textbox>
                  <w:txbxContent>
                    <w:p w14:paraId="40E37BCA" w14:textId="7A52C968" w:rsidR="00345160" w:rsidRPr="00345160" w:rsidRDefault="006F0AE9" w:rsidP="00345160">
                      <w:pPr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Average of </w:t>
                      </w:r>
                      <w:r w:rsidR="00345160" w:rsidRPr="00345160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cx1">
            <w:drawing>
              <wp:inline distT="0" distB="0" distL="0" distR="0" wp14:anchorId="54F006E8" wp14:editId="2974A7B3">
                <wp:extent cx="4851400" cy="3606800"/>
                <wp:effectExtent l="0" t="0" r="6350" b="12700"/>
                <wp:docPr id="6" name="Char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DDA610-92A8-46BA-BB32-3E918DDF1D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3"/>
                  </a:graphicData>
                </a:graphic>
              </wp:inline>
            </w:drawing>
          </mc:Choice>
          <mc:Fallback>
            <w:drawing>
              <wp:inline distT="0" distB="0" distL="0" distR="0" wp14:anchorId="54F006E8" wp14:editId="2974A7B3">
                <wp:extent cx="4851400" cy="3606800"/>
                <wp:effectExtent l="0" t="0" r="6350" b="12700"/>
                <wp:docPr id="6" name="Char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DDA610-92A8-46BA-BB32-3E918DDF1DEA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hart 6">
                          <a:extLst>
                            <a:ext uri="{FF2B5EF4-FFF2-40B4-BE49-F238E27FC236}">
                              <a16:creationId xmlns:a16="http://schemas.microsoft.com/office/drawing/2014/main" id="{8FDDA610-92A8-46BA-BB32-3E918DDF1DEA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1400" cy="360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B4DAE19" w14:textId="77777777" w:rsidR="0019278C" w:rsidRPr="00FE36E0" w:rsidRDefault="0019278C" w:rsidP="00775849">
      <w:pPr>
        <w:rPr>
          <w:rFonts w:ascii="Arial" w:hAnsi="Arial" w:cs="Arial"/>
          <w:sz w:val="24"/>
          <w:szCs w:val="24"/>
        </w:rPr>
      </w:pPr>
    </w:p>
    <w:p w14:paraId="306F61A5" w14:textId="7C7478DD" w:rsidR="005732AE" w:rsidRPr="00FE36E0" w:rsidRDefault="00F27F1A" w:rsidP="00775849">
      <w:pPr>
        <w:rPr>
          <w:rFonts w:ascii="Arial" w:hAnsi="Arial" w:cs="Arial"/>
          <w:b/>
          <w:noProof/>
          <w:sz w:val="24"/>
          <w:szCs w:val="24"/>
          <w:lang w:eastAsia="en-NZ"/>
        </w:rPr>
      </w:pPr>
      <w:r w:rsidRPr="00FE36E0">
        <w:rPr>
          <w:rFonts w:ascii="Arial" w:hAnsi="Arial" w:cs="Arial"/>
          <w:b/>
          <w:sz w:val="24"/>
          <w:szCs w:val="24"/>
        </w:rPr>
        <w:t>Employee Demographics</w:t>
      </w:r>
    </w:p>
    <w:p w14:paraId="5EE1A92D" w14:textId="35E746A4" w:rsidR="00F27F1A" w:rsidRPr="00FE36E0" w:rsidRDefault="00F27F1A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noProof/>
          <w:sz w:val="24"/>
          <w:szCs w:val="24"/>
          <w:lang w:eastAsia="en-NZ"/>
        </w:rPr>
        <w:t xml:space="preserve"> </w:t>
      </w:r>
      <w:r w:rsidR="004A036A">
        <w:rPr>
          <w:noProof/>
          <w:lang w:eastAsia="en-NZ"/>
        </w:rPr>
        <w:drawing>
          <wp:inline distT="0" distB="0" distL="0" distR="0" wp14:anchorId="07F5EB6D" wp14:editId="0D3CE2AD">
            <wp:extent cx="1927860" cy="1645920"/>
            <wp:effectExtent l="0" t="0" r="1524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600063-2889-40E4-B2DD-7B2C8D6ED8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FE36E0">
        <w:rPr>
          <w:rFonts w:ascii="Arial" w:hAnsi="Arial" w:cs="Arial"/>
          <w:noProof/>
          <w:sz w:val="24"/>
          <w:szCs w:val="24"/>
          <w:lang w:eastAsia="en-NZ"/>
        </w:rPr>
        <w:t xml:space="preserve">  </w:t>
      </w:r>
      <w:r w:rsidR="004A036A">
        <w:rPr>
          <w:noProof/>
          <w:lang w:eastAsia="en-NZ"/>
        </w:rPr>
        <w:drawing>
          <wp:inline distT="0" distB="0" distL="0" distR="0" wp14:anchorId="67535056" wp14:editId="45A5252B">
            <wp:extent cx="2194560" cy="1516380"/>
            <wp:effectExtent l="0" t="0" r="15240" b="762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29F896A1-69A6-458D-A6A7-26BE6F5CA8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776C51A" w14:textId="7D0C009C" w:rsidR="0019278C" w:rsidRDefault="004A036A" w:rsidP="00775849">
      <w:pPr>
        <w:rPr>
          <w:rFonts w:ascii="Arial" w:hAnsi="Arial" w:cs="Arial"/>
          <w:b/>
          <w:sz w:val="24"/>
          <w:szCs w:val="24"/>
        </w:rPr>
      </w:pPr>
      <w:r w:rsidRPr="00FE36E0">
        <w:rPr>
          <w:rFonts w:ascii="Arial" w:hAnsi="Arial" w:cs="Arial"/>
          <w:noProof/>
          <w:sz w:val="24"/>
          <w:szCs w:val="24"/>
          <w:lang w:eastAsia="en-N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920CEE" wp14:editId="3FEFCE92">
                <wp:simplePos x="0" y="0"/>
                <wp:positionH relativeFrom="margin">
                  <wp:posOffset>3253740</wp:posOffset>
                </wp:positionH>
                <wp:positionV relativeFrom="paragraph">
                  <wp:posOffset>1469390</wp:posOffset>
                </wp:positionV>
                <wp:extent cx="98298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B40D" w14:textId="77777777" w:rsidR="004A036A" w:rsidRDefault="004A036A" w:rsidP="004A036A">
                            <w:r>
                              <w:t>Age bands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0CEE" id="_x0000_s1028" type="#_x0000_t202" style="position:absolute;margin-left:256.2pt;margin-top:115.7pt;width:77.4pt;height:21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" filled="f" stroked="f">
                <v:textbox>
                  <w:txbxContent>
                    <w:p w14:paraId="4CA5B40D" w14:textId="77777777" w:rsidR="004A036A" w:rsidRDefault="004A036A" w:rsidP="004A036A">
                      <w:r>
                        <w:t>Age bands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44F255AB" wp14:editId="18EFD7CF">
            <wp:extent cx="3177540" cy="1775460"/>
            <wp:effectExtent l="0" t="0" r="3810" b="1524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D8CEC89C-4EF1-42EA-A241-D4BA1367E4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DE0A441" w14:textId="22B47389" w:rsidR="004A036A" w:rsidRDefault="004A036A" w:rsidP="00775849">
      <w:pPr>
        <w:rPr>
          <w:rFonts w:ascii="Arial" w:hAnsi="Arial" w:cs="Arial"/>
          <w:b/>
          <w:sz w:val="24"/>
          <w:szCs w:val="24"/>
        </w:rPr>
      </w:pPr>
    </w:p>
    <w:p w14:paraId="4FFC76FE" w14:textId="221D55A2" w:rsidR="004A036A" w:rsidRDefault="004A036A" w:rsidP="00775849">
      <w:pPr>
        <w:rPr>
          <w:rFonts w:ascii="Arial" w:hAnsi="Arial" w:cs="Arial"/>
          <w:b/>
          <w:sz w:val="24"/>
          <w:szCs w:val="24"/>
        </w:rPr>
      </w:pPr>
    </w:p>
    <w:p w14:paraId="5A6AF22E" w14:textId="49F0C1D2" w:rsidR="004A036A" w:rsidRDefault="004A036A" w:rsidP="00775849">
      <w:pPr>
        <w:rPr>
          <w:rFonts w:ascii="Arial" w:hAnsi="Arial" w:cs="Arial"/>
          <w:b/>
          <w:sz w:val="24"/>
          <w:szCs w:val="24"/>
        </w:rPr>
      </w:pPr>
    </w:p>
    <w:p w14:paraId="3448683C" w14:textId="77777777" w:rsidR="004A036A" w:rsidRPr="00FE36E0" w:rsidRDefault="004A036A" w:rsidP="00775849">
      <w:pPr>
        <w:rPr>
          <w:rFonts w:ascii="Arial" w:hAnsi="Arial" w:cs="Arial"/>
          <w:b/>
          <w:sz w:val="24"/>
          <w:szCs w:val="24"/>
        </w:rPr>
      </w:pPr>
    </w:p>
    <w:p w14:paraId="69AE2046" w14:textId="5BECD366" w:rsidR="00775849" w:rsidRPr="00FE36E0" w:rsidRDefault="00775849" w:rsidP="00775849">
      <w:pPr>
        <w:rPr>
          <w:rFonts w:ascii="Arial" w:hAnsi="Arial" w:cs="Arial"/>
          <w:b/>
          <w:sz w:val="24"/>
          <w:szCs w:val="24"/>
        </w:rPr>
      </w:pPr>
      <w:r w:rsidRPr="00FE36E0">
        <w:rPr>
          <w:rFonts w:ascii="Arial" w:hAnsi="Arial" w:cs="Arial"/>
          <w:b/>
          <w:sz w:val="24"/>
          <w:szCs w:val="24"/>
        </w:rPr>
        <w:t>Official Correspondence</w:t>
      </w:r>
    </w:p>
    <w:p w14:paraId="581916E3" w14:textId="27C245FB" w:rsidR="00775849" w:rsidRPr="00FE36E0" w:rsidRDefault="00775849" w:rsidP="00775849">
      <w:pPr>
        <w:rPr>
          <w:rFonts w:ascii="Arial" w:hAnsi="Arial" w:cs="Arial"/>
          <w:sz w:val="24"/>
          <w:szCs w:val="24"/>
        </w:rPr>
      </w:pPr>
      <w:r w:rsidRPr="00FE36E0">
        <w:rPr>
          <w:rFonts w:ascii="Arial" w:hAnsi="Arial" w:cs="Arial"/>
          <w:sz w:val="24"/>
          <w:szCs w:val="24"/>
        </w:rPr>
        <w:t>Requests under the Official Information Act 1982 for the three months ended 3</w:t>
      </w:r>
      <w:r w:rsidR="004A036A">
        <w:rPr>
          <w:rFonts w:ascii="Arial" w:hAnsi="Arial" w:cs="Arial"/>
          <w:sz w:val="24"/>
          <w:szCs w:val="24"/>
        </w:rPr>
        <w:t>1</w:t>
      </w:r>
      <w:r w:rsidRPr="00FE36E0">
        <w:rPr>
          <w:rFonts w:ascii="Arial" w:hAnsi="Arial" w:cs="Arial"/>
          <w:sz w:val="24"/>
          <w:szCs w:val="24"/>
        </w:rPr>
        <w:t xml:space="preserve"> </w:t>
      </w:r>
      <w:r w:rsidR="004A036A">
        <w:rPr>
          <w:rFonts w:ascii="Arial" w:hAnsi="Arial" w:cs="Arial"/>
          <w:sz w:val="24"/>
          <w:szCs w:val="24"/>
        </w:rPr>
        <w:t>Dec</w:t>
      </w:r>
      <w:r w:rsidRPr="00FE36E0">
        <w:rPr>
          <w:rFonts w:ascii="Arial" w:hAnsi="Arial" w:cs="Arial"/>
          <w:sz w:val="24"/>
          <w:szCs w:val="24"/>
        </w:rPr>
        <w:t>ember 2016</w:t>
      </w:r>
    </w:p>
    <w:tbl>
      <w:tblPr>
        <w:tblpPr w:leftFromText="180" w:rightFromText="180" w:bottomFromText="43" w:vertAnchor="text" w:tblpX="817"/>
        <w:tblW w:w="7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065"/>
        <w:gridCol w:w="1239"/>
        <w:gridCol w:w="1238"/>
        <w:gridCol w:w="1217"/>
        <w:gridCol w:w="1217"/>
        <w:gridCol w:w="967"/>
      </w:tblGrid>
      <w:tr w:rsidR="00775849" w:rsidRPr="00592B1C" w14:paraId="7433EDBA" w14:textId="77777777" w:rsidTr="00775849"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ED29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On hand*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30EA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Requests</w:t>
            </w:r>
          </w:p>
          <w:p w14:paraId="09832D85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received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F6C0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Responded to in 20 working days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D667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Responded to after 20 working days</w:t>
            </w:r>
          </w:p>
        </w:tc>
        <w:tc>
          <w:tcPr>
            <w:tcW w:w="1217" w:type="dxa"/>
          </w:tcPr>
          <w:p w14:paraId="6638FF2A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Average time to respond</w:t>
            </w:r>
          </w:p>
          <w:p w14:paraId="33A1CE9E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(working days)</w:t>
            </w: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4D80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Transferred</w:t>
            </w: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19FE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Declined</w:t>
            </w:r>
          </w:p>
        </w:tc>
      </w:tr>
      <w:tr w:rsidR="00775849" w:rsidRPr="00592B1C" w14:paraId="61DB6F65" w14:textId="77777777" w:rsidTr="00775849"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EB37" w14:textId="1C900A13" w:rsidR="00775849" w:rsidRPr="00592B1C" w:rsidRDefault="008C2F46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4D28" w14:textId="49582367" w:rsidR="00775849" w:rsidRPr="00592B1C" w:rsidRDefault="008C2F46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EFDD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E6B2" w14:textId="0072425E" w:rsidR="00775849" w:rsidRPr="00592B1C" w:rsidRDefault="008C2F46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17" w:type="dxa"/>
          </w:tcPr>
          <w:p w14:paraId="4D802CB4" w14:textId="648BB1D5" w:rsidR="00775849" w:rsidRPr="00592B1C" w:rsidRDefault="00775849" w:rsidP="008C2F46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1</w:t>
            </w:r>
            <w:r w:rsidR="008C2F46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E0EA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3D96" w14:textId="77777777" w:rsidR="00775849" w:rsidRPr="00592B1C" w:rsidRDefault="00775849" w:rsidP="00BB6114">
            <w:pPr>
              <w:pStyle w:val="Default"/>
              <w:spacing w:line="252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592B1C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-</w:t>
            </w:r>
          </w:p>
        </w:tc>
      </w:tr>
    </w:tbl>
    <w:p w14:paraId="3A4D4F9B" w14:textId="77777777" w:rsidR="00775849" w:rsidRPr="00592B1C" w:rsidRDefault="00775849" w:rsidP="00775849">
      <w:pPr>
        <w:rPr>
          <w:rFonts w:ascii="Arial" w:hAnsi="Arial" w:cs="Arial"/>
        </w:rPr>
      </w:pPr>
    </w:p>
    <w:p w14:paraId="42F3C5F3" w14:textId="77777777" w:rsidR="00775849" w:rsidRPr="00592B1C" w:rsidRDefault="00775849" w:rsidP="00775849">
      <w:pPr>
        <w:rPr>
          <w:rFonts w:ascii="Arial" w:hAnsi="Arial" w:cs="Arial"/>
        </w:rPr>
      </w:pPr>
    </w:p>
    <w:p w14:paraId="1CFDD08C" w14:textId="77777777" w:rsidR="00775849" w:rsidRPr="00592B1C" w:rsidRDefault="00775849" w:rsidP="00775849">
      <w:pPr>
        <w:rPr>
          <w:rFonts w:ascii="Arial" w:hAnsi="Arial" w:cs="Arial"/>
        </w:rPr>
      </w:pPr>
    </w:p>
    <w:p w14:paraId="50365975" w14:textId="77777777" w:rsidR="00775849" w:rsidRPr="00592B1C" w:rsidRDefault="00775849" w:rsidP="00775849">
      <w:pPr>
        <w:ind w:firstLine="720"/>
        <w:rPr>
          <w:rFonts w:ascii="Arial" w:hAnsi="Arial" w:cs="Arial"/>
          <w:sz w:val="18"/>
          <w:szCs w:val="18"/>
        </w:rPr>
      </w:pPr>
      <w:r w:rsidRPr="00592B1C">
        <w:rPr>
          <w:rFonts w:ascii="Arial" w:hAnsi="Arial" w:cs="Arial"/>
        </w:rPr>
        <w:t>*</w:t>
      </w:r>
      <w:r w:rsidRPr="00592B1C">
        <w:rPr>
          <w:rFonts w:ascii="Arial" w:hAnsi="Arial" w:cs="Arial"/>
          <w:sz w:val="18"/>
          <w:szCs w:val="18"/>
        </w:rPr>
        <w:t>‘On hand’ refers to OIA requests received and underway at the Quarter commencement date.</w:t>
      </w:r>
    </w:p>
    <w:p w14:paraId="5012CC19" w14:textId="77777777" w:rsidR="00775849" w:rsidRPr="00592B1C" w:rsidRDefault="00775849" w:rsidP="00775849">
      <w:pPr>
        <w:rPr>
          <w:rFonts w:ascii="Arial" w:hAnsi="Arial" w:cs="Arial"/>
        </w:rPr>
      </w:pPr>
    </w:p>
    <w:sectPr w:rsidR="00775849" w:rsidRPr="00592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63"/>
    <w:rsid w:val="0019278C"/>
    <w:rsid w:val="001A2420"/>
    <w:rsid w:val="00255A91"/>
    <w:rsid w:val="002B5ABA"/>
    <w:rsid w:val="00345160"/>
    <w:rsid w:val="003C316E"/>
    <w:rsid w:val="00422163"/>
    <w:rsid w:val="00494206"/>
    <w:rsid w:val="004A036A"/>
    <w:rsid w:val="005732AE"/>
    <w:rsid w:val="00592B1C"/>
    <w:rsid w:val="006F0AE9"/>
    <w:rsid w:val="00775849"/>
    <w:rsid w:val="00795983"/>
    <w:rsid w:val="008C2F46"/>
    <w:rsid w:val="008F146E"/>
    <w:rsid w:val="00946138"/>
    <w:rsid w:val="00B31311"/>
    <w:rsid w:val="00BB6114"/>
    <w:rsid w:val="00BE1349"/>
    <w:rsid w:val="00EB7EDC"/>
    <w:rsid w:val="00F27F1A"/>
    <w:rsid w:val="00F3376A"/>
    <w:rsid w:val="00FB4F9C"/>
    <w:rsid w:val="00FE36E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C815"/>
  <w15:chartTrackingRefBased/>
  <w15:docId w15:val="{DCCF9008-1644-40D9-83A7-43969C1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8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58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5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basedOn w:val="Normal"/>
    <w:rsid w:val="0077584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4/relationships/chartEx" Target="charts/chartEx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4/relationships/chartEx" Target="charts/chartEx1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cid:915AD67F-DF8A-44BB-A7EF-C3C306AD541D@telecom" TargetMode="Externa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http://kc.sportnzgroup.org.nz/site/people/HRMetric/Quarterly%20Report%20-%20Organisational%20Health%20and%20Capability.xlsx" TargetMode="External"/><Relationship Id="rId4" Type="http://schemas.openxmlformats.org/officeDocument/2006/relationships/themeOverride" Target="../theme/themeOverride2.xm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http://kc.sportnzgroup.org.nz/site/people/HRMetric/Quarterly%20Report%20-%20Organisational%20Health%20and%20Capability.xlsx" TargetMode="External"/><Relationship Id="rId4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Turnover!$BA$25</c:f>
              <c:strCache>
                <c:ptCount val="1"/>
                <c:pt idx="0">
                  <c:v>Turnover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Turnover!$AZ$26:$AZ$31</c:f>
              <c:strCache>
                <c:ptCount val="6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Dec-17</c:v>
                </c:pt>
              </c:strCache>
            </c:strRef>
          </c:cat>
          <c:val>
            <c:numRef>
              <c:f>Turnover!$BA$26:$BA$31</c:f>
              <c:numCache>
                <c:formatCode>General</c:formatCode>
                <c:ptCount val="6"/>
                <c:pt idx="0">
                  <c:v>8.9</c:v>
                </c:pt>
                <c:pt idx="1">
                  <c:v>12.6</c:v>
                </c:pt>
                <c:pt idx="2">
                  <c:v>10.199999999999999</c:v>
                </c:pt>
                <c:pt idx="3">
                  <c:v>11.6</c:v>
                </c:pt>
                <c:pt idx="4">
                  <c:v>11.9</c:v>
                </c:pt>
                <c:pt idx="5">
                  <c:v>15.83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A2D-40CB-8C7A-E7DEDAEB4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6516280"/>
        <c:axId val="556514968"/>
      </c:lineChart>
      <c:catAx>
        <c:axId val="55651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514968"/>
        <c:crosses val="autoZero"/>
        <c:auto val="1"/>
        <c:lblAlgn val="ctr"/>
        <c:lblOffset val="100"/>
        <c:noMultiLvlLbl val="0"/>
      </c:catAx>
      <c:valAx>
        <c:axId val="556514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516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[Quarterly Report - Organisational Health and Capability.xlsx]Contract type!PivotTable10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'Contract type'!$B$3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07-44BD-8241-DF9E65189F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07-44BD-8241-DF9E65189F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'Contract type'!$A$4:$A$5</c:f>
              <c:strCache>
                <c:ptCount val="2"/>
                <c:pt idx="0">
                  <c:v>Full-Time</c:v>
                </c:pt>
                <c:pt idx="1">
                  <c:v>Part-Time</c:v>
                </c:pt>
              </c:strCache>
            </c:strRef>
          </c:cat>
          <c:val>
            <c:numRef>
              <c:f>'Contract type'!$B$4:$B$5</c:f>
              <c:numCache>
                <c:formatCode>General</c:formatCode>
                <c:ptCount val="2"/>
                <c:pt idx="0">
                  <c:v>167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07-44BD-8241-DF9E65189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[Quarterly Report - Organisational Health and Capability.xlsx]Gender!PivotTable12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Gender!$B$3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90-48DD-B37D-E1F81181D1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90-48DD-B37D-E1F81181D1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Gender!$A$4:$A$6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Gender!$B$4:$B$6</c:f>
              <c:numCache>
                <c:formatCode>General</c:formatCode>
                <c:ptCount val="2"/>
                <c:pt idx="0">
                  <c:v>84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90-48DD-B37D-E1F81181D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[Quarterly Report - Organisational Health and Capability.xlsx]Age bands!PivotTable13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'Age bands'!$B$3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'Age bands'!$A$4:$A$11</c:f>
              <c:strCache>
                <c:ptCount val="7"/>
                <c:pt idx="0">
                  <c:v>&lt;25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56-65</c:v>
                </c:pt>
                <c:pt idx="5">
                  <c:v>N/A</c:v>
                </c:pt>
                <c:pt idx="6">
                  <c:v>66+</c:v>
                </c:pt>
              </c:strCache>
            </c:strRef>
          </c:cat>
          <c:val>
            <c:numRef>
              <c:f>'Age bands'!$B$4:$B$11</c:f>
              <c:numCache>
                <c:formatCode>General</c:formatCode>
                <c:ptCount val="7"/>
                <c:pt idx="0">
                  <c:v>8</c:v>
                </c:pt>
                <c:pt idx="1">
                  <c:v>43</c:v>
                </c:pt>
                <c:pt idx="2">
                  <c:v>66</c:v>
                </c:pt>
                <c:pt idx="3">
                  <c:v>46</c:v>
                </c:pt>
                <c:pt idx="4">
                  <c:v>22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64-4580-9BC3-BF8D892F63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1818912"/>
        <c:axId val="511818584"/>
      </c:barChart>
      <c:catAx>
        <c:axId val="51181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18584"/>
        <c:crosses val="autoZero"/>
        <c:auto val="1"/>
        <c:lblAlgn val="ctr"/>
        <c:lblOffset val="100"/>
        <c:noMultiLvlLbl val="0"/>
      </c:catAx>
      <c:valAx>
        <c:axId val="511818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1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'Annual Leave'!$O$2:$O$191</cx:f>
        <cx:lvl ptCount="190" formatCode="#,##0.0000">
          <cx:pt idx="0">44.705100000000002</cx:pt>
          <cx:pt idx="1">19.6675</cx:pt>
          <cx:pt idx="2">11.6128</cx:pt>
          <cx:pt idx="3">63.029600000000002</cx:pt>
          <cx:pt idx="4">40.057600000000001</cx:pt>
          <cx:pt idx="5">52.716299999999997</cx:pt>
          <cx:pt idx="6">26.200399999999998</cx:pt>
          <cx:pt idx="7">38.826799999999999</cx:pt>
          <cx:pt idx="8">8.0641999999999996</cx:pt>
          <cx:pt idx="9">4.4038000000000004</cx:pt>
          <cx:pt idx="10">17.922999999999998</cx:pt>
          <cx:pt idx="11">25.782699999999998</cx:pt>
          <cx:pt idx="12">14.131500000000001</cx:pt>
          <cx:pt idx="13">10.8405</cx:pt>
          <cx:pt idx="14">18.449999999999999</cx:pt>
          <cx:pt idx="15">6.5270000000000001</cx:pt>
          <cx:pt idx="16">8.9502000000000006</cx:pt>
          <cx:pt idx="17">8.7524999999999995</cx:pt>
          <cx:pt idx="18">31.214099999999998</cx:pt>
          <cx:pt idx="19">3.7143000000000002</cx:pt>
          <cx:pt idx="20">36.210799999999999</cx:pt>
          <cx:pt idx="21">26.0215</cx:pt>
          <cx:pt idx="22">0.076600000000000001</cx:pt>
          <cx:pt idx="23">1.4998</cx:pt>
          <cx:pt idx="24">13.906499999999999</cx:pt>
          <cx:pt idx="25">11.015700000000001</cx:pt>
          <cx:pt idx="26">4.5929000000000002</cx:pt>
          <cx:pt idx="27">26.1675</cx:pt>
          <cx:pt idx="28">13.545999999999999</cx:pt>
          <cx:pt idx="29">36.045999999999999</cx:pt>
          <cx:pt idx="30">26.584399999999999</cx:pt>
          <cx:pt idx="31">24.304600000000001</cx:pt>
          <cx:pt idx="32">11.3186</cx:pt>
          <cx:pt idx="33">14.295999999999999</cx:pt>
          <cx:pt idx="34">21.350899999999999</cx:pt>
          <cx:pt idx="35">6.5324999999999998</cx:pt>
          <cx:pt idx="36">7.3731999999999998</cx:pt>
          <cx:pt idx="37">8.9117999999999995</cx:pt>
          <cx:pt idx="38">16.411799999999999</cx:pt>
          <cx:pt idx="39">16.911799999999999</cx:pt>
          <cx:pt idx="40">24.027200000000001</cx:pt>
          <cx:pt idx="41">18.642600000000002</cx:pt>
          <cx:pt idx="42">10.2133</cx:pt>
          <cx:pt idx="43">11.725099999999999</cx:pt>
          <cx:pt idx="44">24.2196</cx:pt>
          <cx:pt idx="45">7.7416</cx:pt>
          <cx:pt idx="46">-1.1841999999999999</cx:pt>
          <cx:pt idx="47">15.412000000000001</cx:pt>
          <cx:pt idx="48">17.417899999999999</cx:pt>
          <cx:pt idx="49">12.7713</cx:pt>
          <cx:pt idx="50">12.136699999999999</cx:pt>
          <cx:pt idx="51">9.8346</cx:pt>
          <cx:pt idx="52">18.274100000000001</cx:pt>
          <cx:pt idx="53">11.8895</cx:pt>
          <cx:pt idx="54">9.3895</cx:pt>
          <cx:pt idx="55">22.735700000000001</cx:pt>
          <cx:pt idx="56">8.0818999999999992</cx:pt>
          <cx:pt idx="57">18.2194</cx:pt>
          <cx:pt idx="58">9.4283000000000001</cx:pt>
          <cx:pt idx="59">13.049200000000001</cx:pt>
          <cx:pt idx="60">-2.9946999999999999</cx:pt>
          <cx:pt idx="61">7.5053000000000001</cx:pt>
          <cx:pt idx="62">15.6593</cx:pt>
          <cx:pt idx="63">5.3453999999999997</cx:pt>
          <cx:pt idx="64">14.8454</cx:pt>
          <cx:pt idx="65">11.8454</cx:pt>
          <cx:pt idx="66">9.3453999999999997</cx:pt>
          <cx:pt idx="67">6.5816999999999997</cx:pt>
          <cx:pt idx="68">8.5378000000000007</cx:pt>
          <cx:pt idx="69">11.845599999999999</cx:pt>
          <cx:pt idx="70">9.8455999999999992</cx:pt>
          <cx:pt idx="71">7.3841999999999999</cx:pt>
          <cx:pt idx="72">2.6920000000000002</cx:pt>
          <cx:pt idx="73">5.5271999999999997</cx:pt>
          <cx:pt idx="74">1.1912</cx:pt>
          <cx:pt idx="75">6.1536</cx:pt>
          <cx:pt idx="76">6.0437000000000003</cx:pt>
          <cx:pt idx="77">5.0002000000000004</cx:pt>
          <cx:pt idx="78">2.4613999999999998</cx:pt>
          <cx:pt idx="79">19.9589</cx:pt>
          <cx:pt idx="80">67.635400000000004</cx:pt>
          <cx:pt idx="81">14.120699999999999</cx:pt>
          <cx:pt idx="82">1.1536</cx:pt>
          <cx:pt idx="83">13.695399999999999</cx:pt>
          <cx:pt idx="84">9.9117999999999995</cx:pt>
          <cx:pt idx="85">4.4195000000000002</cx:pt>
          <cx:pt idx="86">13.5823</cx:pt>
          <cx:pt idx="87">5.7443</cx:pt>
          <cx:pt idx="88">-2.0474000000000001</cx:pt>
          <cx:pt idx="89">36.829700000000003</cx:pt>
          <cx:pt idx="90">10.4114</cx:pt>
          <cx:pt idx="91">17.134</cx:pt>
          <cx:pt idx="92">23.856999999999999</cx:pt>
          <cx:pt idx="93">18.526800000000001</cx:pt>
          <cx:pt idx="94">22.629100000000001</cx:pt>
          <cx:pt idx="95">11.2087</cx:pt>
          <cx:pt idx="96">1.0766</cx:pt>
          <cx:pt idx="97">8.7741000000000007</cx:pt>
          <cx:pt idx="98">13.268599999999999</cx:pt>
          <cx:pt idx="99">7.2443</cx:pt>
          <cx:pt idx="100">21.013500000000001</cx:pt>
          <cx:pt idx="101">2.7410999999999999</cx:pt>
          <cx:pt idx="102">16.875800000000002</cx:pt>
          <cx:pt idx="103">15.884600000000001</cx:pt>
          <cx:pt idx="104">2.077</cx:pt>
          <cx:pt idx="105">18.4665</cx:pt>
          <cx:pt idx="106">3.5381999999999998</cx:pt>
          <cx:pt idx="107">4.4722</cx:pt>
          <cx:pt idx="108">6.2740999999999998</cx:pt>
          <cx:pt idx="109">10.6092</cx:pt>
          <cx:pt idx="110">18.350899999999999</cx:pt>
          <cx:pt idx="111">7.2546999999999997</cx:pt>
          <cx:pt idx="112">6.2356999999999996</cx:pt>
          <cx:pt idx="113">12.8599</cx:pt>
          <cx:pt idx="114">2.2444999999999999</cx:pt>
          <cx:pt idx="115">6.9444999999999997</cx:pt>
          <cx:pt idx="116">26.405899999999999</cx:pt>
          <cx:pt idx="117">18.944299999999998</cx:pt>
          <cx:pt idx="118">5.5361000000000002</cx:pt>
          <cx:pt idx="119">21.933399999999999</cx:pt>
          <cx:pt idx="120">6.4889999999999999</cx:pt>
          <cx:pt idx="121">5.5111999999999997</cx:pt>
          <cx:pt idx="122">8.0657999999999994</cx:pt>
          <cx:pt idx="123">4.4196999999999997</cx:pt>
          <cx:pt idx="124">24.684000000000001</cx:pt>
          <cx:pt idx="125">10.318199999999999</cx:pt>
          <cx:pt idx="126">14.989000000000001</cx:pt>
          <cx:pt idx="127">13.3873</cx:pt>
          <cx:pt idx="128">17.159099999999999</cx:pt>
          <cx:pt idx="129">24.159099999999999</cx:pt>
          <cx:pt idx="130">28.310099999999998</cx:pt>
          <cx:pt idx="131">12.8734</cx:pt>
          <cx:pt idx="132">12.337400000000001</cx:pt>
          <cx:pt idx="133">13.9443</cx:pt>
          <cx:pt idx="134">13.0435</cx:pt>
          <cx:pt idx="135">20.639700000000001</cx:pt>
          <cx:pt idx="136">11.595599999999999</cx:pt>
          <cx:pt idx="137">14.513299999999999</cx:pt>
          <cx:pt idx="138">12.8344</cx:pt>
          <cx:pt idx="139">-0.60460000000000003</cx:pt>
          <cx:pt idx="140">6.2409999999999997</cx:pt>
          <cx:pt idx="141">12.433400000000001</cx:pt>
          <cx:pt idx="142">7.5300000000000002</cx:pt>
          <cx:pt idx="143">12.244300000000001</cx:pt>
          <cx:pt idx="144">0.076799999999999993</cx:pt>
          <cx:pt idx="145">1.6593</cx:pt>
          <cx:pt idx="146">13.3291</cx:pt>
          <cx:pt idx="147">12.966699999999999</cx:pt>
          <cx:pt idx="148">30.063099999999999</cx:pt>
          <cx:pt idx="149">13.5268</cx:pt>
          <cx:pt idx="150">22.834599999999998</cx:pt>
          <cx:pt idx="151">3.2827000000000002</cx:pt>
          <cx:pt idx="152">4.2031000000000001</cx:pt>
          <cx:pt idx="153">18.114599999999999</cx:pt>
          <cx:pt idx="154">27.263100000000001</cx:pt>
          <cx:pt idx="155">17.439599999999999</cx:pt>
          <cx:pt idx="156">9.6591000000000005</cx:pt>
          <cx:pt idx="157">3.7218</cx:pt>
          <cx:pt idx="158">4.7694000000000001</cx:pt>
          <cx:pt idx="159">22.791399999999999</cx:pt>
          <cx:pt idx="160">16.958500000000001</cx:pt>
          <cx:pt idx="161">18.975000000000001</cx:pt>
          <cx:pt idx="162">6.7907000000000002</cx:pt>
          <cx:pt idx="163">6.1368999999999998</cx:pt>
          <cx:pt idx="164">5.0683999999999996</cx:pt>
          <cx:pt idx="165">17.659300000000002</cx:pt>
          <cx:pt idx="166">14.504899999999999</cx:pt>
          <cx:pt idx="167">8.6145999999999994</cx:pt>
          <cx:pt idx="168">-1.0087999999999999</cx:pt>
          <cx:pt idx="169">31.7087</cx:pt>
          <cx:pt idx="170">19.114599999999999</cx:pt>
          <cx:pt idx="171">25.230599999999999</cx:pt>
          <cx:pt idx="172">5.4119999999999999</cx:pt>
          <cx:pt idx="173">6.4504000000000001</cx:pt>
          <cx:pt idx="174">16.6753</cx:pt>
          <cx:pt idx="175">11.8977</cx:pt>
          <cx:pt idx="176">18.760400000000001</cx:pt>
          <cx:pt idx="177">18.6038</cx:pt>
          <cx:pt idx="178">12.961399999999999</cx:pt>
          <cx:pt idx="179">4.4032</cx:pt>
          <cx:pt idx="180">29.5108</cx:pt>
          <cx:pt idx="181">4.9119999999999999</cx:pt>
          <cx:pt idx="182">4.3848000000000003</cx:pt>
          <cx:pt idx="183">21.129100000000001</cx:pt>
          <cx:pt idx="184">32.829700000000003</cx:pt>
          <cx:pt idx="185">10.3184</cx:pt>
          <cx:pt idx="186">16.863</cx:pt>
          <cx:pt idx="187">10.9998</cx:pt>
          <cx:pt idx="188">15.461</cx:pt>
          <cx:pt idx="189">23.5382</cx:pt>
        </cx:lvl>
      </cx:numDim>
    </cx:data>
  </cx:chartData>
  <cx:chart>
    <cx:title pos="t" align="ctr" overlay="0">
      <cx:tx>
        <cx:txData>
          <cx:v>Annual Leave Accrued over previous 12 months (days)</cx:v>
        </cx:txData>
      </cx:tx>
      <cx:txPr>
        <a:bodyPr spcFirstLastPara="1" vertOverflow="ellipsis" wrap="square" lIns="0" tIns="0" rIns="0" bIns="0" anchor="ctr" anchorCtr="1"/>
        <a:lstStyle/>
        <a:p>
          <a:pPr algn="ctr">
            <a:defRPr/>
          </a:pPr>
          <a:r>
            <a:rPr lang="en-US"/>
            <a:t>Annual Leave Accrued over previous 12 months (days)</a:t>
          </a:r>
        </a:p>
      </cx:txPr>
    </cx:title>
    <cx:plotArea>
      <cx:plotAreaRegion>
        <cx:series layoutId="boxWhisker" uniqueId="{12DEF56C-0504-4B0A-B2BF-2EF8AE696447}"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>
        <cx:catScaling gapWidth="1"/>
        <cx:tickLabels/>
      </cx:axis>
      <cx:axis id="1">
        <cx:valScaling/>
        <cx:majorGridlines/>
        <cx:tickLabels/>
        <cx:numFmt formatCode="#,##0" sourceLinked="0"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'Sick Leave'!$L$3:$L$194</cx:f>
        <cx:lvl ptCount="192" formatCode="#,##0.00">
          <cx:pt idx="0">0</cx:pt>
          <cx:pt idx="1">0</cx:pt>
          <cx:pt idx="2">0</cx:pt>
          <cx:pt idx="3">0</cx:pt>
          <cx:pt idx="4">0</cx:pt>
          <cx:pt idx="5">0</cx:pt>
          <cx:pt idx="6">3.5</cx:pt>
          <cx:pt idx="7">1</cx:pt>
          <cx:pt idx="8">0</cx:pt>
          <cx:pt idx="9">0</cx:pt>
          <cx:pt idx="10">0</cx:pt>
          <cx:pt idx="11">5</cx:pt>
          <cx:pt idx="12">2</cx:pt>
          <cx:pt idx="13">0</cx:pt>
          <cx:pt idx="14">1</cx:pt>
          <cx:pt idx="15">0</cx:pt>
          <cx:pt idx="16">0</cx:pt>
          <cx:pt idx="17">1</cx:pt>
          <cx:pt idx="18">0</cx:pt>
          <cx:pt idx="19">0</cx:pt>
          <cx:pt idx="20">1</cx:pt>
          <cx:pt idx="21">0</cx:pt>
          <cx:pt idx="22">1</cx:pt>
          <cx:pt idx="23">2</cx:pt>
          <cx:pt idx="24">0</cx:pt>
          <cx:pt idx="25">1</cx:pt>
          <cx:pt idx="26">0</cx:pt>
          <cx:pt idx="27">0</cx:pt>
          <cx:pt idx="28">10</cx:pt>
          <cx:pt idx="29">11</cx:pt>
          <cx:pt idx="30">0</cx:pt>
          <cx:pt idx="31">0</cx:pt>
          <cx:pt idx="32">0</cx:pt>
          <cx:pt idx="33">5</cx:pt>
          <cx:pt idx="34">0</cx:pt>
          <cx:pt idx="35">0</cx:pt>
          <cx:pt idx="36">0</cx:pt>
          <cx:pt idx="37">1</cx:pt>
          <cx:pt idx="38">0</cx:pt>
          <cx:pt idx="39">0</cx:pt>
          <cx:pt idx="40">3</cx:pt>
          <cx:pt idx="41">0</cx:pt>
          <cx:pt idx="42">0</cx:pt>
          <cx:pt idx="43">1</cx:pt>
          <cx:pt idx="44">2</cx:pt>
          <cx:pt idx="45">5</cx:pt>
          <cx:pt idx="46">1.5</cx:pt>
          <cx:pt idx="47">0</cx:pt>
          <cx:pt idx="48">0</cx:pt>
          <cx:pt idx="49">0</cx:pt>
          <cx:pt idx="50">0</cx:pt>
          <cx:pt idx="51">15</cx:pt>
          <cx:pt idx="52">10</cx:pt>
          <cx:pt idx="53">0</cx:pt>
          <cx:pt idx="54">1</cx:pt>
          <cx:pt idx="55">0</cx:pt>
          <cx:pt idx="56">9</cx:pt>
          <cx:pt idx="57">0</cx:pt>
          <cx:pt idx="58">4</cx:pt>
          <cx:pt idx="59">0</cx:pt>
          <cx:pt idx="60">0</cx:pt>
          <cx:pt idx="61">1</cx:pt>
          <cx:pt idx="62">0</cx:pt>
          <cx:pt idx="63">1.5</cx:pt>
          <cx:pt idx="64">13</cx:pt>
          <cx:pt idx="65">0</cx:pt>
          <cx:pt idx="66">0</cx:pt>
          <cx:pt idx="67">2.25</cx:pt>
          <cx:pt idx="68">0</cx:pt>
          <cx:pt idx="69">2</cx:pt>
          <cx:pt idx="70">1</cx:pt>
          <cx:pt idx="71">2</cx:pt>
          <cx:pt idx="72">0</cx:pt>
          <cx:pt idx="73">11</cx:pt>
          <cx:pt idx="74">0</cx:pt>
          <cx:pt idx="75">3</cx:pt>
          <cx:pt idx="76">5</cx:pt>
          <cx:pt idx="77">0</cx:pt>
          <cx:pt idx="78">1</cx:pt>
          <cx:pt idx="79">0</cx:pt>
          <cx:pt idx="80">3</cx:pt>
          <cx:pt idx="81">0</cx:pt>
          <cx:pt idx="82">16.07</cx:pt>
          <cx:pt idx="83">6</cx:pt>
          <cx:pt idx="84">0</cx:pt>
          <cx:pt idx="85">0</cx:pt>
          <cx:pt idx="86">1</cx:pt>
          <cx:pt idx="87">0.5</cx:pt>
          <cx:pt idx="88">0</cx:pt>
          <cx:pt idx="89">2</cx:pt>
          <cx:pt idx="90">3.5</cx:pt>
          <cx:pt idx="91">4.25</cx:pt>
          <cx:pt idx="92">4</cx:pt>
          <cx:pt idx="93">2</cx:pt>
          <cx:pt idx="94">1</cx:pt>
          <cx:pt idx="95">0</cx:pt>
          <cx:pt idx="96">2</cx:pt>
          <cx:pt idx="97">0</cx:pt>
          <cx:pt idx="98">0</cx:pt>
          <cx:pt idx="99">3</cx:pt>
          <cx:pt idx="100">1</cx:pt>
          <cx:pt idx="101">2</cx:pt>
          <cx:pt idx="102">0</cx:pt>
          <cx:pt idx="103">0</cx:pt>
          <cx:pt idx="104">0</cx:pt>
          <cx:pt idx="105">0</cx:pt>
          <cx:pt idx="106">3</cx:pt>
          <cx:pt idx="107">5.5</cx:pt>
          <cx:pt idx="108">0</cx:pt>
          <cx:pt idx="109">0</cx:pt>
          <cx:pt idx="110">0</cx:pt>
          <cx:pt idx="111">0</cx:pt>
          <cx:pt idx="112">2</cx:pt>
          <cx:pt idx="113">0</cx:pt>
          <cx:pt idx="114">9</cx:pt>
          <cx:pt idx="115">9</cx:pt>
          <cx:pt idx="116">0</cx:pt>
          <cx:pt idx="117">4</cx:pt>
          <cx:pt idx="118">0.5</cx:pt>
          <cx:pt idx="119">0</cx:pt>
          <cx:pt idx="120">0</cx:pt>
          <cx:pt idx="121">2</cx:pt>
          <cx:pt idx="122">0</cx:pt>
          <cx:pt idx="123">0</cx:pt>
          <cx:pt idx="124">19</cx:pt>
          <cx:pt idx="125">5.5</cx:pt>
          <cx:pt idx="126">0</cx:pt>
          <cx:pt idx="127">0</cx:pt>
          <cx:pt idx="128">0</cx:pt>
          <cx:pt idx="129">3.5</cx:pt>
          <cx:pt idx="130">2</cx:pt>
          <cx:pt idx="131">1</cx:pt>
          <cx:pt idx="132">2</cx:pt>
          <cx:pt idx="133">0</cx:pt>
          <cx:pt idx="134">2</cx:pt>
          <cx:pt idx="135">8.5</cx:pt>
          <cx:pt idx="136">2</cx:pt>
          <cx:pt idx="137">0</cx:pt>
          <cx:pt idx="138">0</cx:pt>
          <cx:pt idx="139">0</cx:pt>
          <cx:pt idx="140">0</cx:pt>
          <cx:pt idx="141">1</cx:pt>
          <cx:pt idx="142">2.5</cx:pt>
          <cx:pt idx="143">26</cx:pt>
          <cx:pt idx="144">9</cx:pt>
          <cx:pt idx="145">0</cx:pt>
          <cx:pt idx="146">1</cx:pt>
          <cx:pt idx="147">7.5</cx:pt>
          <cx:pt idx="148">6</cx:pt>
          <cx:pt idx="149">3</cx:pt>
          <cx:pt idx="150">1</cx:pt>
          <cx:pt idx="151">0</cx:pt>
          <cx:pt idx="152">6</cx:pt>
          <cx:pt idx="153">1</cx:pt>
          <cx:pt idx="154">0</cx:pt>
          <cx:pt idx="155">0</cx:pt>
          <cx:pt idx="156">0</cx:pt>
          <cx:pt idx="157">3</cx:pt>
          <cx:pt idx="158">1</cx:pt>
          <cx:pt idx="159">0</cx:pt>
          <cx:pt idx="160">6</cx:pt>
          <cx:pt idx="161">6</cx:pt>
          <cx:pt idx="162">1</cx:pt>
          <cx:pt idx="163">2</cx:pt>
          <cx:pt idx="164">0</cx:pt>
          <cx:pt idx="165">3</cx:pt>
          <cx:pt idx="166">3</cx:pt>
          <cx:pt idx="167">7</cx:pt>
          <cx:pt idx="168">8</cx:pt>
          <cx:pt idx="169">0</cx:pt>
          <cx:pt idx="170">7</cx:pt>
          <cx:pt idx="171">6</cx:pt>
          <cx:pt idx="172">7</cx:pt>
          <cx:pt idx="173">8</cx:pt>
          <cx:pt idx="174">3</cx:pt>
          <cx:pt idx="175">0.5</cx:pt>
          <cx:pt idx="176">1</cx:pt>
          <cx:pt idx="177">0</cx:pt>
          <cx:pt idx="178">6</cx:pt>
          <cx:pt idx="179">0</cx:pt>
          <cx:pt idx="180">0</cx:pt>
          <cx:pt idx="181">7</cx:pt>
          <cx:pt idx="182">0</cx:pt>
          <cx:pt idx="183">1</cx:pt>
          <cx:pt idx="184">0</cx:pt>
          <cx:pt idx="185">0</cx:pt>
          <cx:pt idx="186">0</cx:pt>
          <cx:pt idx="187">0</cx:pt>
          <cx:pt idx="188">0</cx:pt>
          <cx:pt idx="189">0</cx:pt>
          <cx:pt idx="190">0</cx:pt>
          <cx:pt idx="191">0</cx:pt>
        </cx:lvl>
      </cx:numDim>
    </cx:data>
  </cx:chartData>
  <cx:chart>
    <cx:title pos="t" align="ctr" overlay="0">
      <cx:tx>
        <cx:txData>
          <cx:v>Sick leave taken over previous 12 months (Days)</cx:v>
        </cx:txData>
      </cx:tx>
      <cx:txPr>
        <a:bodyPr spcFirstLastPara="1" vertOverflow="ellipsis" wrap="square" lIns="0" tIns="0" rIns="0" bIns="0" anchor="ctr" anchorCtr="1"/>
        <a:lstStyle/>
        <a:p>
          <a:pPr algn="ctr">
            <a:defRPr/>
          </a:pPr>
          <a:r>
            <a:rPr lang="en-US"/>
            <a:t>Sick leave taken over previous 12 months (Days)</a:t>
          </a:r>
        </a:p>
      </cx:txPr>
    </cx:title>
    <cx:plotArea>
      <cx:plotAreaRegion>
        <cx:series layoutId="boxWhisker" uniqueId="{43F81B32-7E9B-4ACD-A9B8-098B8EAC7809}">
          <cx:tx>
            <cx:txData>
              <cx:f>'Sick Leave'!$L$2</cx:f>
              <cx:v>Sick leave taken</cx:v>
            </cx:txData>
          </cx:tx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  <cx:numFmt formatCode="#,##0" sourceLinked="0"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21cbe00-2104-4159-b9b9-bd54555d1bf2">Normal</Aggregation_Status>
    <PRA_Date_2 xmlns="e21cbe00-2104-4159-b9b9-bd54555d1bf2" xsi:nil="true"/>
    <PRA_Date_Trigger xmlns="e21cbe00-2104-4159-b9b9-bd54555d1bf2" xsi:nil="true"/>
    <Related_People xmlns="e21cbe00-2104-4159-b9b9-bd54555d1bf2">
      <UserInfo>
        <DisplayName/>
        <AccountId xsi:nil="true"/>
        <AccountType/>
      </UserInfo>
    </Related_People>
    <PRA_Type xmlns="e21cbe00-2104-4159-b9b9-bd54555d1bf2">Doc</PRA_Type>
    <Read_Only_Status xmlns="e21cbe00-2104-4159-b9b9-bd54555d1bf2">Open</Read_Only_Status>
    <Target_Audience xmlns="e21cbe00-2104-4159-b9b9-bd54555d1bf2">Internal</Target_Audience>
    <Function xmlns="e21cbe00-2104-4159-b9b9-bd54555d1bf2">Management and Governance</Function>
    <Volume xmlns="e21cbe00-2104-4159-b9b9-bd54555d1bf2">NA</Volume>
    <PRA_Date_3 xmlns="e21cbe00-2104-4159-b9b9-bd54555d1bf2" xsi:nil="true"/>
    <Project xmlns="e21cbe00-2104-4159-b9b9-bd54555d1bf2">NA</Project>
    <Administrative xmlns="f0c9abad-2e3e-4033-9030-c1d1c2f56d57" xsi:nil="true"/>
    <Authoritative_Version xmlns="e21cbe00-2104-4159-b9b9-bd54555d1bf2">false</Authoritative_Version>
    <CategoryValue xmlns="e21cbe00-2104-4159-b9b9-bd54555d1bf2">NA</CategoryValue>
    <DocumentType xmlns="e21cbe00-2104-4159-b9b9-bd54555d1bf2">Report</DocumentType>
    <PRA_Date_Disposal xmlns="e21cbe00-2104-4159-b9b9-bd54555d1bf2" xsi:nil="true"/>
    <Financial_x0020_Year xmlns="f0c9abad-2e3e-4033-9030-c1d1c2f56d57">2016-2017</Financial_x0020_Year>
    <Activity xmlns="e21cbe00-2104-4159-b9b9-bd54555d1bf2">Reporting</Activity>
    <FunctionGroup xmlns="e21cbe00-2104-4159-b9b9-bd54555d1bf2">NA</FunctionGroup>
    <PRA_Text_3 xmlns="e21cbe00-2104-4159-b9b9-bd54555d1bf2" xsi:nil="true"/>
    <Narrative xmlns="e21cbe00-2104-4159-b9b9-bd54555d1bf2" xsi:nil="true"/>
    <CategoryName xmlns="e21cbe00-2104-4159-b9b9-bd54555d1bf2">NA</CategoryName>
    <Know-How_Type xmlns="e21cbe00-2104-4159-b9b9-bd54555d1bf2">NA</Know-How_Type>
    <Key_x0020_Words xmlns="e21cbe00-2104-4159-b9b9-bd54555d1bf2"/>
    <Case xmlns="e21cbe00-2104-4159-b9b9-bd54555d1bf2">NA</Case>
    <Original_Document xmlns="e21cbe00-2104-4159-b9b9-bd54555d1bf2" xsi:nil="true"/>
    <PRA_Text_2 xmlns="e21cbe00-2104-4159-b9b9-bd54555d1bf2" xsi:nil="true"/>
    <PRA_Text_5 xmlns="e21cbe00-2104-4159-b9b9-bd54555d1bf2" xsi:nil="true"/>
    <PRA_Date_1 xmlns="e21cbe00-2104-4159-b9b9-bd54555d1bf2" xsi:nil="true"/>
    <Subactivity xmlns="e21cbe00-2104-4159-b9b9-bd54555d1bf2">Performance Reporting</Subactivity>
    <Entity xmlns="b0a87a5a-4a8e-439b-8ba8-e233ac656765">Sport NZ Group</Entity>
    <PRA_Text_1 xmlns="e21cbe00-2104-4159-b9b9-bd54555d1bf2" xsi:nil="true"/>
    <PRA_Text_4 xmlns="e21cbe00-2104-4159-b9b9-bd54555d1bf2" xsi:nil="true"/>
    <Record_Type xmlns="e21cbe00-2104-4159-b9b9-bd54555d1bf2">Normal</Record_Type>
    <RecordID xmlns="e21cbe00-2104-4159-b9b9-bd54555d1bf2">909608</Record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E82186FFF3B97540B760FA61ECEBE233" ma:contentTypeVersion="30" ma:contentTypeDescription="Standard Electronic Document" ma:contentTypeScope="" ma:versionID="97c2d511393d24a1129ee14a257ddcbd">
  <xsd:schema xmlns:xsd="http://www.w3.org/2001/XMLSchema" xmlns:xs="http://www.w3.org/2001/XMLSchema" xmlns:p="http://schemas.microsoft.com/office/2006/metadata/properties" xmlns:ns2="e21cbe00-2104-4159-b9b9-bd54555d1bf2" xmlns:ns3="f0c9abad-2e3e-4033-9030-c1d1c2f56d57" xmlns:ns4="b0a87a5a-4a8e-439b-8ba8-e233ac656765" targetNamespace="http://schemas.microsoft.com/office/2006/metadata/properties" ma:root="true" ma:fieldsID="62ad17943562dfbb7588064cb9d30540" ns2:_="" ns3:_="" ns4:_="">
    <xsd:import namespace="e21cbe00-2104-4159-b9b9-bd54555d1bf2"/>
    <xsd:import namespace="f0c9abad-2e3e-4033-9030-c1d1c2f56d57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/>
                <xsd:element ref="ns2:Key_x0020_Words" minOccurs="0"/>
                <xsd:element ref="ns3:Financial_x0020_Year" minOccurs="0"/>
                <xsd:element ref="ns4:Entity" minOccurs="0"/>
                <xsd:element ref="ns2:PRA_Text_1" minOccurs="0"/>
                <xsd:element ref="ns2:Narrative" minOccurs="0"/>
                <xsd:element ref="ns2:Aggregation_Status" minOccurs="0"/>
                <xsd:element ref="ns2:RecordID" minOccurs="0"/>
                <xsd:element ref="ns2:Read_Only_Status" minOccurs="0"/>
                <xsd:element ref="ns3:Administrative" minOccurs="0"/>
                <xsd:element ref="ns2:Related_People" minOccurs="0"/>
                <xsd:element ref="ns2:PRA_Type" minOccurs="0"/>
                <xsd:element ref="ns2:Record_Type" minOccurs="0"/>
                <xsd:element ref="ns2:Target_Audience" minOccurs="0"/>
                <xsd:element ref="ns2:Authoritative_Version" minOccurs="0"/>
                <xsd:element ref="ns2:Original_Document" minOccurs="0"/>
                <xsd:element ref="ns2:CategoryValue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Function" minOccurs="0"/>
                <xsd:element ref="ns2:Activity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  <xsd:element ref="ns2:Know-How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2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3" ma:displayName="Subactivity" ma:format="Dropdown" ma:internalName="Subactivity">
      <xsd:simpleType>
        <xsd:restriction base="dms:Choice">
          <xsd:enumeration value="Annual Report"/>
          <xsd:enumeration value="Administrative"/>
          <xsd:enumeration value="Financial Review"/>
          <xsd:enumeration value="Ministerial Reporting"/>
          <xsd:enumeration value="Performance Reporting"/>
          <xsd:enumeration value="Quarterly Report to Minister"/>
          <xsd:enumeration value="Six-Month Report"/>
          <xsd:enumeration value="SSC CE Expenses"/>
          <xsd:enumeration value="Statement of Intent"/>
        </xsd:restriction>
      </xsd:simpleType>
    </xsd:element>
    <xsd:element name="Key_x0020_Words" ma:index="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A_Text_1" ma:index="7" nillable="true" ma:displayName="PRA Level" ma:description="For PRA assessments only. Do not use." ma:format="Dropdown" ma:internalName="PraText1">
      <xsd:simpleType>
        <xsd:restriction base="dms:Choice">
          <xsd:enumeration value="High"/>
          <xsd:enumeration value="Low"/>
        </xsd:restriction>
      </xsd:simpleType>
    </xsd:element>
    <xsd:element name="Narrative" ma:index="8" nillable="true" ma:displayName="Narrative" ma:internalName="Narrative">
      <xsd:simpleType>
        <xsd:restriction base="dms:Note">
          <xsd:maxLength value="255"/>
        </xsd:restriction>
      </xsd:simpleType>
    </xsd:element>
    <xsd:element name="Aggregation_Status" ma:index="9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ad_Only_Status" ma:index="11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Related_People" ma:index="13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A_Type" ma:index="14" nillable="true" ma:displayName="PRA Type" ma:default="Doc" ma:hidden="true" ma:internalName="PRAType" ma:readOnly="false">
      <xsd:simpleType>
        <xsd:restriction base="dms:Text"/>
      </xsd:simpleType>
    </xsd:element>
    <xsd:element name="Record_Type" ma:index="15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Target_Audience" ma:index="16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Authoritative_Version" ma:index="17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Original_Document" ma:index="18" nillable="true" ma:displayName="Original Document" ma:hidden="true" ma:internalName="OriginalDocument">
      <xsd:simpleType>
        <xsd:restriction base="dms:Text"/>
      </xsd:simpleType>
    </xsd:element>
    <xsd:element name="CategoryValue" ma:index="19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A_Text_2" ma:index="20" nillable="true" ma:displayName="PRA Text 2" ma:hidden="true" ma:internalName="PraText2" ma:readOnly="false">
      <xsd:simpleType>
        <xsd:restriction base="dms:Text"/>
      </xsd:simpleType>
    </xsd:element>
    <xsd:element name="PRA_Text_3" ma:index="21" nillable="true" ma:displayName="PRA Text 3" ma:hidden="true" ma:internalName="PraText3" ma:readOnly="false">
      <xsd:simpleType>
        <xsd:restriction base="dms:Text"/>
      </xsd:simpleType>
    </xsd:element>
    <xsd:element name="PRA_Text_4" ma:index="22" nillable="true" ma:displayName="PRA Text 4" ma:hidden="true" ma:internalName="PraText4" ma:readOnly="false">
      <xsd:simpleType>
        <xsd:restriction base="dms:Text"/>
      </xsd:simpleType>
    </xsd:element>
    <xsd:element name="PRA_Text_5" ma:index="23" nillable="true" ma:displayName="PRA Text 5" ma:hidden="true" ma:internalName="PraText5" ma:readOnly="false">
      <xsd:simpleType>
        <xsd:restriction base="dms:Text"/>
      </xsd:simpleType>
    </xsd:element>
    <xsd:element name="PRA_Date_1" ma:index="24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5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6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27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28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Function" ma:index="30" nillable="true" ma:displayName="Function" ma:default="Management and Governance" ma:format="Dropdown" ma:internalName="Function">
      <xsd:simpleType>
        <xsd:union memberTypes="dms:Text">
          <xsd:simpleType>
            <xsd:restriction base="dms:Choice">
              <xsd:enumeration value="Management and Governance"/>
            </xsd:restriction>
          </xsd:simpleType>
        </xsd:union>
      </xsd:simpleType>
    </xsd:element>
    <xsd:element name="Activity" ma:index="31" nillable="true" ma:displayName="Activity" ma:default="Reporting" ma:format="Dropdown" ma:hidden="true" ma:internalName="Activity" ma:readOnly="false">
      <xsd:simpleType>
        <xsd:union memberTypes="dms:Text">
          <xsd:simpleType>
            <xsd:restriction base="dms:Choice">
              <xsd:enumeration value="Reporting"/>
            </xsd:restriction>
          </xsd:simpleType>
        </xsd:union>
      </xsd:simpleType>
    </xsd:element>
    <xsd:element name="Case" ma:index="33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6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7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8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-How_Type" ma:index="41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9abad-2e3e-4033-9030-c1d1c2f56d57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5" nillable="true" ma:displayName="Financial Year" ma:default="2016-2017" ma:format="Dropdown" ma:internalName="Financial_x0020_Year">
      <xsd:simpleType>
        <xsd:restriction base="dms:Choice"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 and prior"/>
        </xsd:restriction>
      </xsd:simpleType>
    </xsd:element>
    <xsd:element name="Administrative" ma:index="12" nillable="true" ma:displayName="Administrative" ma:hidden="true" ma:internalName="Administ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6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C07B-1D39-49B2-A6DD-3C9A79311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874CA-4B86-46EB-A699-5F55673284F7}">
  <ds:schemaRefs>
    <ds:schemaRef ds:uri="http://purl.org/dc/dcmitype/"/>
    <ds:schemaRef ds:uri="http://www.w3.org/XML/1998/namespace"/>
    <ds:schemaRef ds:uri="f0c9abad-2e3e-4033-9030-c1d1c2f56d5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0a87a5a-4a8e-439b-8ba8-e233ac656765"/>
    <ds:schemaRef ds:uri="e21cbe00-2104-4159-b9b9-bd54555d1bf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0FF62B-512C-43CD-9116-7EAC9D782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f0c9abad-2e3e-4033-9030-c1d1c2f56d57"/>
    <ds:schemaRef ds:uri="b0a87a5a-4a8e-439b-8ba8-e233ac65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F0E3B-A8BE-4C2B-8B99-8880FDDE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Morrison</dc:creator>
  <cp:keywords/>
  <dc:description/>
  <cp:lastModifiedBy>Kate Daly</cp:lastModifiedBy>
  <cp:revision>2</cp:revision>
  <cp:lastPrinted>2016-12-09T01:32:00Z</cp:lastPrinted>
  <dcterms:created xsi:type="dcterms:W3CDTF">2017-03-30T21:23:00Z</dcterms:created>
  <dcterms:modified xsi:type="dcterms:W3CDTF">2017-03-30T21:23:00Z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0x010100AAAAAAAAAAAAAAAAAAAAAAAAAAAAAA0200E82186FFF3B97540B760FA61ECEBE233</vt:lpwstr>
  </property>
  <property fmtid="{D5CDD505-2E9C-101B-9397-08002B2CF9AE}" pid="3" name="_ModerationStatus">
    <vt:lpwstr>0</vt:lpwstr>
  </property>
</Properties>
</file>